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364EE">
      <w:pPr>
        <w:pStyle w:val="1"/>
      </w:pPr>
      <w:r>
        <w:fldChar w:fldCharType="begin"/>
      </w:r>
      <w:r>
        <w:instrText>HYPERLINK "garantF1://400011276.0"</w:instrText>
      </w:r>
      <w:r>
        <w:fldChar w:fldCharType="separate"/>
      </w:r>
      <w:r>
        <w:rPr>
          <w:rStyle w:val="a4"/>
          <w:b w:val="0"/>
          <w:bCs w:val="0"/>
        </w:rPr>
        <w:t>Межгосударственный стандарт ГОСТ 310.6-2020</w:t>
      </w:r>
      <w:r>
        <w:rPr>
          <w:rStyle w:val="a4"/>
          <w:b w:val="0"/>
          <w:bCs w:val="0"/>
        </w:rPr>
        <w:br/>
        <w:t>"Цементы. Метод определения водоотделения"</w:t>
      </w:r>
      <w:r>
        <w:rPr>
          <w:rStyle w:val="a4"/>
          <w:b w:val="0"/>
          <w:bCs w:val="0"/>
        </w:rPr>
        <w:br/>
        <w:t>(введен в действие приказом Федерального агентства по техническому регулированию и метрологии от 7 августа 2020 г. N 475-ст)</w:t>
      </w:r>
      <w:r>
        <w:fldChar w:fldCharType="end"/>
      </w:r>
    </w:p>
    <w:p w:rsidR="00000000" w:rsidRDefault="006364EE"/>
    <w:p w:rsidR="00000000" w:rsidRDefault="006364EE">
      <w:pPr>
        <w:pStyle w:val="1"/>
      </w:pPr>
      <w:r>
        <w:t>Cements. Method for dete</w:t>
      </w:r>
      <w:r>
        <w:t>rmination of water separation</w:t>
      </w:r>
    </w:p>
    <w:p w:rsidR="00000000" w:rsidRDefault="006364EE"/>
    <w:p w:rsidR="00000000" w:rsidRDefault="006364EE">
      <w:pPr>
        <w:ind w:firstLine="698"/>
        <w:jc w:val="right"/>
      </w:pPr>
      <w:r>
        <w:t xml:space="preserve">МКС </w:t>
      </w:r>
      <w:hyperlink r:id="rId5" w:history="1">
        <w:r>
          <w:rPr>
            <w:rStyle w:val="a4"/>
          </w:rPr>
          <w:t>91.100.10</w:t>
        </w:r>
      </w:hyperlink>
    </w:p>
    <w:p w:rsidR="00000000" w:rsidRDefault="006364EE"/>
    <w:p w:rsidR="00000000" w:rsidRDefault="006364EE">
      <w:pPr>
        <w:ind w:firstLine="698"/>
        <w:jc w:val="right"/>
      </w:pPr>
      <w:r>
        <w:t>Дата введения - 1 апреля 2021 г.</w:t>
      </w:r>
      <w:r>
        <w:br/>
        <w:t xml:space="preserve">Взамен </w:t>
      </w:r>
      <w:hyperlink r:id="rId6" w:history="1">
        <w:r>
          <w:rPr>
            <w:rStyle w:val="a4"/>
          </w:rPr>
          <w:t>ГОСТ 310.6-85</w:t>
        </w:r>
      </w:hyperlink>
    </w:p>
    <w:p w:rsidR="00000000" w:rsidRDefault="006364EE"/>
    <w:p w:rsidR="00000000" w:rsidRDefault="006364EE">
      <w:pPr>
        <w:pStyle w:val="1"/>
      </w:pPr>
      <w:bookmarkStart w:id="1" w:name="sub_98"/>
      <w:r>
        <w:t>Предисловие</w:t>
      </w:r>
    </w:p>
    <w:bookmarkEnd w:id="1"/>
    <w:p w:rsidR="00000000" w:rsidRDefault="006364EE"/>
    <w:p w:rsidR="00000000" w:rsidRDefault="006364EE">
      <w:r>
        <w:t>Цели, основные принципы и общие правила проведения работ</w:t>
      </w:r>
      <w:r>
        <w:t xml:space="preserve"> по межгосударственной стандартизации установлены </w:t>
      </w:r>
      <w:hyperlink r:id="rId7" w:history="1">
        <w:r>
          <w:rPr>
            <w:rStyle w:val="a4"/>
          </w:rPr>
          <w:t>ГОСТ 1.0</w:t>
        </w:r>
      </w:hyperlink>
      <w:r>
        <w:t xml:space="preserve"> "Межгосударственная система стандартизации. Основные положения" и </w:t>
      </w:r>
      <w:hyperlink r:id="rId8" w:history="1">
        <w:r>
          <w:rPr>
            <w:rStyle w:val="a4"/>
          </w:rPr>
          <w:t>ГОСТ 1.2</w:t>
        </w:r>
      </w:hyperlink>
      <w:r>
        <w:t xml:space="preserve"> "Межгосударственная система стандартизации. Станда</w:t>
      </w:r>
      <w:r>
        <w:t>рты 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:rsidR="00000000" w:rsidRDefault="006364EE"/>
    <w:p w:rsidR="00000000" w:rsidRDefault="006364EE">
      <w:r>
        <w:rPr>
          <w:rStyle w:val="a3"/>
        </w:rPr>
        <w:t>Сведения о стандарте</w:t>
      </w:r>
    </w:p>
    <w:p w:rsidR="00000000" w:rsidRDefault="006364EE"/>
    <w:p w:rsidR="00000000" w:rsidRDefault="006364EE">
      <w:r>
        <w:t>1 Разработан Ассоциацией членов в области промышленности строительных материалов "Научно-исследов</w:t>
      </w:r>
      <w:r>
        <w:t>ательский институт промышленности строительных материалов" и Обществом с ограниченной ответственностью Фирма "Цемискон"</w:t>
      </w:r>
    </w:p>
    <w:p w:rsidR="00000000" w:rsidRDefault="006364EE">
      <w:r>
        <w:t>2 Внесен Техническим комитетом по стандартизации ТК 144 "Строительные материалы"</w:t>
      </w:r>
    </w:p>
    <w:p w:rsidR="00000000" w:rsidRDefault="006364EE">
      <w:r>
        <w:t>3 Принят Межгосударственной научно-технической комиссие</w:t>
      </w:r>
      <w:r>
        <w:t>й по стандартизации, техническому нормированию и сертификации в строительстве (протокол от 30 июня 2020 г. N 131-П)</w:t>
      </w:r>
    </w:p>
    <w:p w:rsidR="00000000" w:rsidRDefault="006364EE">
      <w:r>
        <w:t>За принятие проголосовали:</w:t>
      </w:r>
    </w:p>
    <w:p w:rsidR="00000000" w:rsidRDefault="006364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540"/>
        <w:gridCol w:w="6720"/>
      </w:tblGrid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 xml:space="preserve">Краткое наименование страны по </w:t>
            </w:r>
            <w:hyperlink r:id="rId9" w:history="1">
              <w:r w:rsidRPr="006364EE">
                <w:rPr>
                  <w:rStyle w:val="a4"/>
                </w:rPr>
                <w:t>МК (ИСО 3166) 004-97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 xml:space="preserve">Код страны по </w:t>
            </w:r>
            <w:hyperlink r:id="rId10" w:history="1">
              <w:r w:rsidRPr="006364EE">
                <w:rPr>
                  <w:rStyle w:val="a4"/>
                </w:rPr>
                <w:t>МК (ИСО 3166) 004-97</w:t>
              </w:r>
            </w:hyperlink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Сокращенное наименование национального органа по стандартизации</w:t>
            </w:r>
          </w:p>
        </w:tc>
      </w:tr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Беларусь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BY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364EE" w:rsidRDefault="006364EE">
            <w:pPr>
              <w:pStyle w:val="a5"/>
            </w:pPr>
            <w:r w:rsidRPr="006364EE">
              <w:t>Госстандарт Республики Беларусь</w:t>
            </w:r>
          </w:p>
        </w:tc>
      </w:tr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Киргизия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KG</w:t>
            </w:r>
          </w:p>
        </w:tc>
        <w:tc>
          <w:tcPr>
            <w:tcW w:w="6720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364EE" w:rsidRDefault="006364EE">
            <w:pPr>
              <w:pStyle w:val="a5"/>
            </w:pPr>
            <w:r w:rsidRPr="006364EE">
              <w:t>Кыргызстандарт</w:t>
            </w:r>
          </w:p>
        </w:tc>
      </w:tr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Россия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RU</w:t>
            </w:r>
          </w:p>
        </w:tc>
        <w:tc>
          <w:tcPr>
            <w:tcW w:w="6720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364EE" w:rsidRDefault="006364EE">
            <w:pPr>
              <w:pStyle w:val="a5"/>
            </w:pPr>
            <w:r w:rsidRPr="006364EE">
              <w:t>Росстандарт</w:t>
            </w:r>
          </w:p>
        </w:tc>
      </w:tr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Таджикистан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TJ</w:t>
            </w:r>
          </w:p>
        </w:tc>
        <w:tc>
          <w:tcPr>
            <w:tcW w:w="6720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364EE" w:rsidRDefault="006364EE">
            <w:pPr>
              <w:pStyle w:val="a5"/>
            </w:pPr>
            <w:r w:rsidRPr="006364EE">
              <w:t>Таджикстандарт</w:t>
            </w:r>
          </w:p>
        </w:tc>
      </w:tr>
      <w:tr w:rsidR="00000000" w:rsidRPr="006364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Узбекистан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64EE" w:rsidRDefault="006364EE">
            <w:pPr>
              <w:pStyle w:val="a5"/>
              <w:jc w:val="center"/>
            </w:pPr>
            <w:r w:rsidRPr="006364EE">
              <w:t>UZ</w:t>
            </w:r>
          </w:p>
        </w:tc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364EE" w:rsidRDefault="006364EE">
            <w:pPr>
              <w:pStyle w:val="a5"/>
            </w:pPr>
            <w:r w:rsidRPr="006364EE">
              <w:t>Узстандарт</w:t>
            </w:r>
          </w:p>
        </w:tc>
      </w:tr>
    </w:tbl>
    <w:p w:rsidR="00000000" w:rsidRDefault="006364EE"/>
    <w:p w:rsidR="00000000" w:rsidRDefault="006364EE">
      <w:r>
        <w:t xml:space="preserve">4 Приказом Федерального агентства по техническому регулированию и метрологии от 7 августа 2020 г. N 475-ст межгосударственный стандарт </w:t>
      </w:r>
      <w:hyperlink w:anchor="sub_0" w:history="1">
        <w:r>
          <w:rPr>
            <w:rStyle w:val="a4"/>
          </w:rPr>
          <w:t>ГОСТ 310.6-2020</w:t>
        </w:r>
      </w:hyperlink>
      <w:r>
        <w:t xml:space="preserve"> введен в действие в качестве национального стандарта Российской </w:t>
      </w:r>
      <w:r>
        <w:lastRenderedPageBreak/>
        <w:t>Федерации с 1 апреля 2021 г.</w:t>
      </w:r>
    </w:p>
    <w:p w:rsidR="00000000" w:rsidRDefault="006364EE">
      <w:r>
        <w:t xml:space="preserve">5 Взамен </w:t>
      </w:r>
      <w:hyperlink r:id="rId11" w:history="1">
        <w:r>
          <w:rPr>
            <w:rStyle w:val="a4"/>
          </w:rPr>
          <w:t>ГОСТ 310.6-85</w:t>
        </w:r>
      </w:hyperlink>
    </w:p>
    <w:p w:rsidR="00000000" w:rsidRDefault="006364EE"/>
    <w:p w:rsidR="00000000" w:rsidRDefault="006364EE">
      <w:pPr>
        <w:pStyle w:val="1"/>
      </w:pPr>
      <w:bookmarkStart w:id="2" w:name="sub_101"/>
      <w:r>
        <w:t>1 Область применения</w:t>
      </w:r>
    </w:p>
    <w:bookmarkEnd w:id="2"/>
    <w:p w:rsidR="00000000" w:rsidRDefault="006364EE"/>
    <w:p w:rsidR="00000000" w:rsidRDefault="006364EE">
      <w:r>
        <w:t>Настоящий стандарт распространяется на цементы, для которых установ</w:t>
      </w:r>
      <w:r>
        <w:t>лены требования по водоотделению, и устанавливает метод определения этого показателя.</w:t>
      </w:r>
    </w:p>
    <w:p w:rsidR="00000000" w:rsidRDefault="006364EE"/>
    <w:p w:rsidR="00000000" w:rsidRDefault="006364EE">
      <w:pPr>
        <w:pStyle w:val="1"/>
      </w:pPr>
      <w:bookmarkStart w:id="3" w:name="sub_102"/>
      <w:r>
        <w:t>2 Нормативные ссылки</w:t>
      </w:r>
    </w:p>
    <w:bookmarkEnd w:id="3"/>
    <w:p w:rsidR="00000000" w:rsidRDefault="006364EE"/>
    <w:p w:rsidR="00000000" w:rsidRDefault="006364EE">
      <w:r>
        <w:t>В настоящем стандарте использованы нормативные ссылки на следующие межгосударственные стандарты:</w:t>
      </w:r>
    </w:p>
    <w:p w:rsidR="00000000" w:rsidRDefault="006364EE">
      <w:hyperlink r:id="rId12" w:history="1">
        <w:r>
          <w:rPr>
            <w:rStyle w:val="a4"/>
          </w:rPr>
          <w:t>ГОСТ</w:t>
        </w:r>
        <w:r>
          <w:rPr>
            <w:rStyle w:val="a4"/>
          </w:rPr>
          <w:t xml:space="preserve"> 1770</w:t>
        </w:r>
      </w:hyperlink>
      <w:r>
        <w:t xml:space="preserve"> (ИСО 1042-83, ИСО 4788-80) Посуда мерная лабораторная стеклянная. Цилиндры, мензурки, колбы, пробирки. Общие технические условия</w:t>
      </w:r>
    </w:p>
    <w:p w:rsidR="00000000" w:rsidRDefault="006364EE">
      <w:hyperlink r:id="rId13" w:history="1">
        <w:r>
          <w:rPr>
            <w:rStyle w:val="a4"/>
          </w:rPr>
          <w:t>ГОСТ 6709</w:t>
        </w:r>
      </w:hyperlink>
      <w:r>
        <w:t xml:space="preserve"> Вода дистиллированная. Технические условия</w:t>
      </w:r>
    </w:p>
    <w:p w:rsidR="00000000" w:rsidRDefault="006364EE">
      <w:hyperlink r:id="rId14" w:history="1">
        <w:r>
          <w:rPr>
            <w:rStyle w:val="a4"/>
          </w:rPr>
          <w:t>ГОСТ 9147</w:t>
        </w:r>
      </w:hyperlink>
      <w:r>
        <w:t xml:space="preserve"> Посуда и оборудование лабораторные фарфоровые. Технические условия</w:t>
      </w:r>
    </w:p>
    <w:p w:rsidR="00000000" w:rsidRDefault="006364EE">
      <w:hyperlink r:id="rId15" w:history="1">
        <w:r>
          <w:rPr>
            <w:rStyle w:val="a4"/>
          </w:rPr>
          <w:t>ГОСТ 30515</w:t>
        </w:r>
      </w:hyperlink>
      <w:r>
        <w:t xml:space="preserve"> Цементы. Общие технические условия</w:t>
      </w:r>
    </w:p>
    <w:p w:rsidR="00000000" w:rsidRDefault="006364EE">
      <w:hyperlink r:id="rId16" w:history="1">
        <w:r>
          <w:rPr>
            <w:rStyle w:val="a4"/>
          </w:rPr>
          <w:t>ГОСТ 30744</w:t>
        </w:r>
      </w:hyperlink>
      <w:r>
        <w:t xml:space="preserve"> Цементы. Методы испытаний с использованием полиф</w:t>
      </w:r>
      <w:r>
        <w:t>ракционного песка</w:t>
      </w:r>
    </w:p>
    <w:p w:rsidR="00000000" w:rsidRDefault="006364EE">
      <w:hyperlink r:id="rId17" w:history="1">
        <w:r>
          <w:rPr>
            <w:rStyle w:val="a4"/>
          </w:rPr>
          <w:t>ГОСТ OIML R 76-1</w:t>
        </w:r>
      </w:hyperlink>
      <w:r>
        <w:t xml:space="preserve">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:rsidR="00000000" w:rsidRDefault="006364EE"/>
    <w:p w:rsidR="00000000" w:rsidRDefault="006364EE">
      <w:r>
        <w:rPr>
          <w:rStyle w:val="a3"/>
        </w:rPr>
        <w:t>Примечание</w:t>
      </w:r>
      <w:r>
        <w:t xml:space="preserve"> -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</w:t>
      </w:r>
      <w:r>
        <w:t>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</w:t>
      </w:r>
      <w:r>
        <w:t>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</w:t>
      </w:r>
      <w:r>
        <w:t xml:space="preserve">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</w:t>
      </w:r>
      <w:r>
        <w:t>затрагивающей эту ссылку.</w:t>
      </w:r>
    </w:p>
    <w:p w:rsidR="00000000" w:rsidRDefault="006364EE"/>
    <w:p w:rsidR="00000000" w:rsidRDefault="006364EE">
      <w:pPr>
        <w:pStyle w:val="1"/>
      </w:pPr>
      <w:bookmarkStart w:id="4" w:name="sub_103"/>
      <w:r>
        <w:t>3 Проведение испытаний</w:t>
      </w:r>
    </w:p>
    <w:bookmarkEnd w:id="4"/>
    <w:p w:rsidR="00000000" w:rsidRDefault="006364EE"/>
    <w:p w:rsidR="00000000" w:rsidRDefault="006364EE">
      <w:bookmarkStart w:id="5" w:name="sub_109"/>
      <w:r>
        <w:rPr>
          <w:rStyle w:val="a3"/>
        </w:rPr>
        <w:t>3.1 Аппаратура</w:t>
      </w:r>
    </w:p>
    <w:bookmarkEnd w:id="5"/>
    <w:p w:rsidR="00000000" w:rsidRDefault="006364EE">
      <w:r>
        <w:t xml:space="preserve">Для проведения испытаний используют приборы и оборудование, приведенные в </w:t>
      </w:r>
      <w:hyperlink w:anchor="sub_105" w:history="1">
        <w:r>
          <w:rPr>
            <w:rStyle w:val="a4"/>
          </w:rPr>
          <w:t>3.1.1-3.1.4</w:t>
        </w:r>
      </w:hyperlink>
      <w:r>
        <w:t>.</w:t>
      </w:r>
    </w:p>
    <w:p w:rsidR="00000000" w:rsidRDefault="006364EE">
      <w:bookmarkStart w:id="6" w:name="sub_105"/>
      <w:r>
        <w:t>3.1.1 Весы лабораторные с пределом измерени</w:t>
      </w:r>
      <w:r>
        <w:t xml:space="preserve">я не менее 2000 г и погрешностью измерения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5pt">
            <v:imagedata r:id="rId18" o:title=""/>
          </v:shape>
        </w:pict>
      </w:r>
      <w:r>
        <w:t xml:space="preserve"> 0,1 г по </w:t>
      </w:r>
      <w:hyperlink r:id="rId19" w:history="1">
        <w:r>
          <w:rPr>
            <w:rStyle w:val="a4"/>
          </w:rPr>
          <w:t>ГОСТ OIML R 76-1</w:t>
        </w:r>
      </w:hyperlink>
      <w:r>
        <w:t>.</w:t>
      </w:r>
    </w:p>
    <w:p w:rsidR="00000000" w:rsidRDefault="006364EE">
      <w:bookmarkStart w:id="7" w:name="sub_106"/>
      <w:bookmarkEnd w:id="6"/>
      <w:r>
        <w:t>3.1.2 Градуированный стеклянный цилиндр вместимостью 500 см</w:t>
      </w:r>
      <w:r>
        <w:rPr>
          <w:vertAlign w:val="superscript"/>
        </w:rPr>
        <w:t>3</w:t>
      </w:r>
      <w:r>
        <w:t xml:space="preserve"> 1-го класса </w:t>
      </w:r>
      <w:r>
        <w:lastRenderedPageBreak/>
        <w:t xml:space="preserve">точности по </w:t>
      </w:r>
      <w:hyperlink r:id="rId20" w:history="1">
        <w:r>
          <w:rPr>
            <w:rStyle w:val="a4"/>
          </w:rPr>
          <w:t>ГОСТ 1770</w:t>
        </w:r>
      </w:hyperlink>
      <w:r>
        <w:t>. Цилиндр должен быть отградуирован перед первым использованием на наливной объем дистиллированной водой.</w:t>
      </w:r>
    </w:p>
    <w:p w:rsidR="00000000" w:rsidRDefault="006364EE">
      <w:bookmarkStart w:id="8" w:name="sub_107"/>
      <w:bookmarkEnd w:id="7"/>
      <w:r>
        <w:t>3.1.3 Фарфоровый стакан вместимостью 1000 см</w:t>
      </w:r>
      <w:r>
        <w:rPr>
          <w:vertAlign w:val="superscript"/>
        </w:rPr>
        <w:t>3</w:t>
      </w:r>
      <w:r>
        <w:t xml:space="preserve"> по </w:t>
      </w:r>
      <w:hyperlink r:id="rId21" w:history="1">
        <w:r>
          <w:rPr>
            <w:rStyle w:val="a4"/>
          </w:rPr>
          <w:t>ГОСТ 9147</w:t>
        </w:r>
      </w:hyperlink>
      <w:r>
        <w:t>.</w:t>
      </w:r>
    </w:p>
    <w:p w:rsidR="00000000" w:rsidRDefault="006364EE">
      <w:bookmarkStart w:id="9" w:name="sub_108"/>
      <w:bookmarkEnd w:id="8"/>
      <w:r>
        <w:t>3.1.4 Шпатель металлический с лезвием длиной не менее 150 мм и шириной не более 50 мм.</w:t>
      </w:r>
    </w:p>
    <w:p w:rsidR="00000000" w:rsidRDefault="006364EE">
      <w:bookmarkStart w:id="10" w:name="sub_114"/>
      <w:bookmarkEnd w:id="9"/>
      <w:r>
        <w:rPr>
          <w:rStyle w:val="a3"/>
        </w:rPr>
        <w:t>3.2 Условия проведения испытаний</w:t>
      </w:r>
    </w:p>
    <w:p w:rsidR="00000000" w:rsidRDefault="006364EE">
      <w:bookmarkStart w:id="11" w:name="sub_110"/>
      <w:bookmarkEnd w:id="10"/>
      <w:r>
        <w:t xml:space="preserve">3.2.1 Отбор проб цемента - по </w:t>
      </w:r>
      <w:hyperlink r:id="rId22" w:history="1">
        <w:r>
          <w:rPr>
            <w:rStyle w:val="a4"/>
          </w:rPr>
          <w:t>ГОСТ 30515</w:t>
        </w:r>
      </w:hyperlink>
      <w:r>
        <w:t>.</w:t>
      </w:r>
    </w:p>
    <w:p w:rsidR="00000000" w:rsidRDefault="006364EE">
      <w:bookmarkStart w:id="12" w:name="sub_111"/>
      <w:bookmarkEnd w:id="11"/>
      <w:r>
        <w:t>3.2.2 Темпера</w:t>
      </w:r>
      <w:r>
        <w:t xml:space="preserve">тура и относительная влажность воздуха в помещении для проведения испытаний должны соответствовать требованиям </w:t>
      </w:r>
      <w:hyperlink r:id="rId23" w:history="1">
        <w:r>
          <w:rPr>
            <w:rStyle w:val="a4"/>
          </w:rPr>
          <w:t>ГОСТ 30744</w:t>
        </w:r>
      </w:hyperlink>
      <w:r>
        <w:t>.</w:t>
      </w:r>
    </w:p>
    <w:p w:rsidR="00000000" w:rsidRDefault="006364EE">
      <w:bookmarkStart w:id="13" w:name="sub_112"/>
      <w:bookmarkEnd w:id="12"/>
      <w:r>
        <w:t xml:space="preserve">3.2.3 Подготовка проб для испытаний - по </w:t>
      </w:r>
      <w:hyperlink r:id="rId24" w:history="1">
        <w:r>
          <w:rPr>
            <w:rStyle w:val="a4"/>
          </w:rPr>
          <w:t>ГОСТ 30744</w:t>
        </w:r>
      </w:hyperlink>
      <w:r>
        <w:t>.</w:t>
      </w:r>
    </w:p>
    <w:p w:rsidR="00000000" w:rsidRDefault="006364EE">
      <w:bookmarkStart w:id="14" w:name="sub_113"/>
      <w:bookmarkEnd w:id="13"/>
      <w:r>
        <w:t xml:space="preserve">3.2.4 Для проведения испытаний используют дистиллированную воду по </w:t>
      </w:r>
      <w:hyperlink r:id="rId25" w:history="1">
        <w:r>
          <w:rPr>
            <w:rStyle w:val="a4"/>
          </w:rPr>
          <w:t>ГОСТ 6709</w:t>
        </w:r>
      </w:hyperlink>
      <w:r>
        <w:t>.</w:t>
      </w:r>
    </w:p>
    <w:p w:rsidR="00000000" w:rsidRDefault="006364EE">
      <w:bookmarkStart w:id="15" w:name="sub_117"/>
      <w:bookmarkEnd w:id="14"/>
      <w:r>
        <w:rPr>
          <w:rStyle w:val="a3"/>
        </w:rPr>
        <w:t>3.3 Проведение испытания</w:t>
      </w:r>
    </w:p>
    <w:p w:rsidR="00000000" w:rsidRDefault="006364EE">
      <w:bookmarkStart w:id="16" w:name="sub_115"/>
      <w:bookmarkEnd w:id="15"/>
      <w:r>
        <w:t>3.3.1 Взвешивают 350 г цемента и 350 г воды. Цемент взвешивают с точностью</w:t>
      </w:r>
      <w:r>
        <w:t xml:space="preserve"> до 1 г, воду взвешивают с точностью до 0,5 г или отмеряют объем с точностью до 0,5 см</w:t>
      </w:r>
      <w:r>
        <w:rPr>
          <w:vertAlign w:val="superscript"/>
        </w:rPr>
        <w:t>3</w:t>
      </w:r>
      <w:r>
        <w:t>.</w:t>
      </w:r>
    </w:p>
    <w:bookmarkEnd w:id="16"/>
    <w:p w:rsidR="00000000" w:rsidRDefault="006364EE">
      <w:r>
        <w:t>Воду выливают в фарфоровый стакан, затем в стакан в течение 1 мин высыпают навеску цемента, непрерывно перемешивая содержимое металлическим шпателем. Полученное</w:t>
      </w:r>
      <w:r>
        <w:t xml:space="preserve"> цементное тесто перемешивают еще 4 мин и осторожно переливают в градуированный стеклянный цилиндр.</w:t>
      </w:r>
    </w:p>
    <w:p w:rsidR="00000000" w:rsidRDefault="006364EE">
      <w:r>
        <w:t>Цилиндр ставят на стол и отмечают объем цементного теста в кубических сантиметрах, используя нанесенную на цилиндр градуировку.</w:t>
      </w:r>
    </w:p>
    <w:p w:rsidR="00000000" w:rsidRDefault="006364EE">
      <w:r>
        <w:t>В течение всего времени испы</w:t>
      </w:r>
      <w:r>
        <w:t>таний цилиндр должен стоять неподвижно в месте, где отсутствуют воздушные потоки, и не подвергаться толчкам и встряхиваниям.</w:t>
      </w:r>
    </w:p>
    <w:p w:rsidR="00000000" w:rsidRDefault="006364EE">
      <w:bookmarkStart w:id="17" w:name="sub_116"/>
      <w:r>
        <w:t>3.3.2 Объем осевшего цементного теста с точностью до 0,5 см</w:t>
      </w:r>
      <w:r>
        <w:rPr>
          <w:vertAlign w:val="superscript"/>
        </w:rPr>
        <w:t>3</w:t>
      </w:r>
      <w:r>
        <w:t xml:space="preserve"> отмечают через 2 ч после первого отсчета и через каждые 30 мин </w:t>
      </w:r>
      <w:r>
        <w:t>при дальнейших наблюдениях. При совпадении двух последних отсчетов наблюдение прекращают, а последнее значение объема фиксируют для последующего расчета водоотделения.</w:t>
      </w:r>
    </w:p>
    <w:bookmarkEnd w:id="17"/>
    <w:p w:rsidR="00000000" w:rsidRDefault="006364EE"/>
    <w:p w:rsidR="00000000" w:rsidRDefault="006364EE">
      <w:pPr>
        <w:pStyle w:val="1"/>
      </w:pPr>
      <w:bookmarkStart w:id="18" w:name="sub_104"/>
      <w:r>
        <w:t>4 Обработка результатов</w:t>
      </w:r>
    </w:p>
    <w:bookmarkEnd w:id="18"/>
    <w:p w:rsidR="00000000" w:rsidRDefault="006364EE"/>
    <w:p w:rsidR="00000000" w:rsidRDefault="006364EE">
      <w:r>
        <w:t xml:space="preserve">Водоотделение цемента W, %, вычисляют по </w:t>
      </w:r>
      <w:r>
        <w:t>формуле</w:t>
      </w:r>
    </w:p>
    <w:p w:rsidR="00000000" w:rsidRDefault="006364EE"/>
    <w:p w:rsidR="00000000" w:rsidRDefault="006364EE">
      <w:pPr>
        <w:ind w:firstLine="698"/>
        <w:jc w:val="center"/>
      </w:pPr>
      <w:r>
        <w:pict>
          <v:shape id="_x0000_i1026" type="#_x0000_t75" style="width:284.25pt;height:93pt">
            <v:imagedata r:id="rId26" o:title=""/>
          </v:shape>
        </w:pict>
      </w:r>
      <w:r>
        <w:t>,</w:t>
      </w:r>
    </w:p>
    <w:p w:rsidR="00000000" w:rsidRDefault="006364EE"/>
    <w:p w:rsidR="00000000" w:rsidRDefault="006364EE">
      <w:pPr>
        <w:ind w:firstLine="0"/>
      </w:pPr>
      <w:r>
        <w:t>где а - первоначальный объем цементного теста, см</w:t>
      </w:r>
      <w:r>
        <w:rPr>
          <w:vertAlign w:val="superscript"/>
        </w:rPr>
        <w:t>3</w:t>
      </w:r>
      <w:r>
        <w:t>;</w:t>
      </w:r>
    </w:p>
    <w:p w:rsidR="00000000" w:rsidRDefault="006364EE">
      <w:r>
        <w:t>b - объем осевшего цементного теста, см</w:t>
      </w:r>
      <w:r>
        <w:rPr>
          <w:vertAlign w:val="superscript"/>
        </w:rPr>
        <w:t>3</w:t>
      </w:r>
      <w:r>
        <w:t>.</w:t>
      </w:r>
    </w:p>
    <w:p w:rsidR="00000000" w:rsidRDefault="006364EE">
      <w:r>
        <w:t>Проводят два параллельных определения. Отклонение результатов параллельных определений не должно превышать 1 </w:t>
      </w:r>
      <w:r>
        <w:t>% среднего значения. Окончательный результат определения водоотделения рассчитывают как среднеарифметическое значение результатов параллельных определений и округляют до 0,1 %.</w:t>
      </w:r>
    </w:p>
    <w:p w:rsidR="00000000" w:rsidRDefault="006364EE">
      <w:r>
        <w:t xml:space="preserve">Полученный показатель должен быть зафиксирован в рабочем журнале </w:t>
      </w:r>
      <w:r>
        <w:lastRenderedPageBreak/>
        <w:t>сотрудника исп</w:t>
      </w:r>
      <w:r>
        <w:t>ытательной лаборатории.</w:t>
      </w:r>
    </w:p>
    <w:p w:rsidR="006364EE" w:rsidRDefault="006364EE"/>
    <w:sectPr w:rsidR="006364E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2C4"/>
    <w:rsid w:val="006364EE"/>
    <w:rsid w:val="006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BBF0F2-A908-4282-84B9-96A05E4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Ссылка на официальную публикацию"/>
    <w:basedOn w:val="a"/>
    <w:next w:val="a"/>
    <w:uiPriority w:val="99"/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61128.0" TargetMode="External"/><Relationship Id="rId13" Type="http://schemas.openxmlformats.org/officeDocument/2006/relationships/hyperlink" Target="garantF1://97354.0" TargetMode="External"/><Relationship Id="rId18" Type="http://schemas.openxmlformats.org/officeDocument/2006/relationships/image" Target="media/image1.emf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garantF1://6078264.0" TargetMode="External"/><Relationship Id="rId7" Type="http://schemas.openxmlformats.org/officeDocument/2006/relationships/hyperlink" Target="garantF1://71361124.0" TargetMode="External"/><Relationship Id="rId12" Type="http://schemas.openxmlformats.org/officeDocument/2006/relationships/hyperlink" Target="garantF1://3824461.0" TargetMode="External"/><Relationship Id="rId17" Type="http://schemas.openxmlformats.org/officeDocument/2006/relationships/hyperlink" Target="garantF1://71478616.0" TargetMode="External"/><Relationship Id="rId25" Type="http://schemas.openxmlformats.org/officeDocument/2006/relationships/hyperlink" Target="garantF1://9735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822962.0" TargetMode="External"/><Relationship Id="rId20" Type="http://schemas.openxmlformats.org/officeDocument/2006/relationships/hyperlink" Target="garantF1://3824461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3823112.0" TargetMode="External"/><Relationship Id="rId11" Type="http://schemas.openxmlformats.org/officeDocument/2006/relationships/hyperlink" Target="garantF1://3823112.0" TargetMode="External"/><Relationship Id="rId24" Type="http://schemas.openxmlformats.org/officeDocument/2006/relationships/hyperlink" Target="garantF1://3822962.0" TargetMode="External"/><Relationship Id="rId5" Type="http://schemas.openxmlformats.org/officeDocument/2006/relationships/hyperlink" Target="garantF1://79063.9110010" TargetMode="External"/><Relationship Id="rId15" Type="http://schemas.openxmlformats.org/officeDocument/2006/relationships/hyperlink" Target="garantF1://71012616.0" TargetMode="External"/><Relationship Id="rId23" Type="http://schemas.openxmlformats.org/officeDocument/2006/relationships/hyperlink" Target="garantF1://3822962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12027475.0" TargetMode="External"/><Relationship Id="rId19" Type="http://schemas.openxmlformats.org/officeDocument/2006/relationships/hyperlink" Target="garantF1://7147861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7475.0" TargetMode="External"/><Relationship Id="rId14" Type="http://schemas.openxmlformats.org/officeDocument/2006/relationships/hyperlink" Target="garantF1://6078264.0" TargetMode="External"/><Relationship Id="rId22" Type="http://schemas.openxmlformats.org/officeDocument/2006/relationships/hyperlink" Target="garantF1://71012616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Company>НПП "Гарант-Сервис"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Долгов Алексей Владимирович</cp:lastModifiedBy>
  <cp:revision>2</cp:revision>
  <dcterms:created xsi:type="dcterms:W3CDTF">2021-06-01T05:07:00Z</dcterms:created>
  <dcterms:modified xsi:type="dcterms:W3CDTF">2021-06-01T05:07:00Z</dcterms:modified>
</cp:coreProperties>
</file>